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56" w:rsidRPr="008D7300" w:rsidRDefault="00045F56" w:rsidP="00964E55">
      <w:pPr>
        <w:pStyle w:val="a3"/>
        <w:rPr>
          <w:sz w:val="24"/>
          <w:szCs w:val="24"/>
        </w:rPr>
      </w:pPr>
      <w:r w:rsidRPr="008D7300">
        <w:rPr>
          <w:sz w:val="24"/>
          <w:szCs w:val="24"/>
        </w:rPr>
        <w:t xml:space="preserve">Принято на заседании                                                    </w:t>
      </w:r>
      <w:r>
        <w:rPr>
          <w:sz w:val="24"/>
          <w:szCs w:val="24"/>
        </w:rPr>
        <w:t xml:space="preserve">                  </w:t>
      </w:r>
      <w:r w:rsidR="00964E5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8D7300">
        <w:rPr>
          <w:sz w:val="24"/>
          <w:szCs w:val="24"/>
        </w:rPr>
        <w:t>УТВЕРЖДАЮ</w:t>
      </w:r>
    </w:p>
    <w:p w:rsidR="00045F56" w:rsidRPr="008D7300" w:rsidRDefault="00045F56" w:rsidP="00045F56">
      <w:pPr>
        <w:pStyle w:val="a3"/>
        <w:rPr>
          <w:sz w:val="24"/>
          <w:szCs w:val="24"/>
        </w:rPr>
      </w:pPr>
      <w:r w:rsidRPr="008D7300">
        <w:rPr>
          <w:sz w:val="24"/>
          <w:szCs w:val="24"/>
        </w:rPr>
        <w:t xml:space="preserve">педагогического Совета школы                                   </w:t>
      </w:r>
      <w:r w:rsidR="00964E5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8D7300">
        <w:rPr>
          <w:sz w:val="24"/>
          <w:szCs w:val="24"/>
        </w:rPr>
        <w:t>Директор МБОУ ИООШ №21</w:t>
      </w:r>
    </w:p>
    <w:p w:rsidR="00045F56" w:rsidRPr="008D7300" w:rsidRDefault="00045F56" w:rsidP="00045F5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Протокол №___ от_________2016 </w:t>
      </w:r>
      <w:r w:rsidRPr="008D7300">
        <w:rPr>
          <w:sz w:val="24"/>
          <w:szCs w:val="24"/>
        </w:rPr>
        <w:t xml:space="preserve">г                               </w:t>
      </w:r>
      <w:r w:rsidR="00964E55">
        <w:rPr>
          <w:sz w:val="24"/>
          <w:szCs w:val="24"/>
        </w:rPr>
        <w:t xml:space="preserve">            </w:t>
      </w:r>
      <w:r w:rsidRPr="008D7300">
        <w:rPr>
          <w:sz w:val="24"/>
          <w:szCs w:val="24"/>
        </w:rPr>
        <w:t>А.А. Гамов_________</w:t>
      </w:r>
      <w:r w:rsidR="00964E55">
        <w:rPr>
          <w:sz w:val="24"/>
          <w:szCs w:val="24"/>
        </w:rPr>
        <w:t xml:space="preserve">______  </w:t>
      </w:r>
    </w:p>
    <w:p w:rsidR="00045F56" w:rsidRPr="008D7300" w:rsidRDefault="00045F56" w:rsidP="00045F5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964E5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«11» января </w:t>
      </w:r>
      <w:r w:rsidR="00964E55" w:rsidRPr="00964E55">
        <w:rPr>
          <w:color w:val="auto"/>
          <w:sz w:val="24"/>
          <w:szCs w:val="24"/>
        </w:rPr>
        <w:t>2016</w:t>
      </w:r>
      <w:r w:rsidRPr="004D7915">
        <w:rPr>
          <w:color w:val="FF0000"/>
          <w:sz w:val="24"/>
          <w:szCs w:val="24"/>
        </w:rPr>
        <w:t xml:space="preserve"> </w:t>
      </w:r>
      <w:r w:rsidRPr="008D7300">
        <w:rPr>
          <w:sz w:val="24"/>
          <w:szCs w:val="24"/>
        </w:rPr>
        <w:t>г.</w:t>
      </w:r>
      <w:r>
        <w:rPr>
          <w:sz w:val="24"/>
          <w:szCs w:val="24"/>
        </w:rPr>
        <w:t xml:space="preserve"> №</w:t>
      </w:r>
    </w:p>
    <w:p w:rsidR="00045F56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045F56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45F56" w:rsidRPr="00D66414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ПОЛОЖЕНИЕ</w:t>
      </w:r>
    </w:p>
    <w:p w:rsidR="00045F56" w:rsidRPr="00D66414" w:rsidRDefault="00045F56" w:rsidP="00045F56">
      <w:pPr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5F56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 антикоррупционной политике</w:t>
      </w: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 </w:t>
      </w:r>
    </w:p>
    <w:p w:rsidR="00045F56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в муниципальном бюджетном общеобразовательном учреждении </w:t>
      </w:r>
    </w:p>
    <w:p w:rsidR="00045F56" w:rsidRPr="00D66414" w:rsidRDefault="00045F56" w:rsidP="00045F56">
      <w:pPr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Ильинской основной  общеобразовательной школе  №21</w:t>
      </w:r>
    </w:p>
    <w:p w:rsidR="00045F56" w:rsidRDefault="00045F56" w:rsidP="00045F56">
      <w:pPr>
        <w:shd w:val="clear" w:color="auto" w:fill="FFFFFF"/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Содержание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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Цели и задачи внедрения антикоррупционной политики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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Используемые в политике понятия и определения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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Основные принципы антикоррупционной деятельности организации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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Область применения политики и круг лиц, попадающих под ее действие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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Определение должностных лиц организации, ответственных за реализацию антикоррупционной политики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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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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Ответственность сотрудников за несоблюдение требований антикоррупционной политики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</w:t>
      </w: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Порядок пересмотра и внесения изменений в антикоррупционную политику организации</w:t>
      </w:r>
    </w:p>
    <w:p w:rsidR="00045F56" w:rsidRDefault="00045F56" w:rsidP="00045F56">
      <w:pPr>
        <w:shd w:val="clear" w:color="auto" w:fill="FFFFFF"/>
        <w:spacing w:after="0" w:line="240" w:lineRule="auto"/>
        <w:ind w:left="720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bdr w:val="none" w:sz="0" w:space="0" w:color="auto" w:frame="1"/>
          <w:lang w:eastAsia="ru-RU"/>
        </w:rPr>
      </w:pPr>
    </w:p>
    <w:p w:rsidR="00045F56" w:rsidRPr="00D66414" w:rsidRDefault="00045F56" w:rsidP="00045F56">
      <w:pPr>
        <w:shd w:val="clear" w:color="auto" w:fill="FFFFFF"/>
        <w:spacing w:after="0" w:line="240" w:lineRule="auto"/>
        <w:ind w:left="720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bdr w:val="none" w:sz="0" w:space="0" w:color="auto" w:frame="1"/>
          <w:lang w:eastAsia="ru-RU"/>
        </w:rPr>
        <w:t>1.</w:t>
      </w:r>
      <w:r w:rsidRPr="00D66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bdr w:val="none" w:sz="0" w:space="0" w:color="auto" w:frame="1"/>
          <w:lang w:eastAsia="ru-RU"/>
        </w:rPr>
        <w:t>Цели и задачи  внедрения антикоррупционной политики в школе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720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        </w:t>
      </w:r>
    </w:p>
    <w:p w:rsidR="00045F56" w:rsidRPr="00E5010C" w:rsidRDefault="00045F56" w:rsidP="00045F56">
      <w:pPr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 Антикоррупционная поли</w:t>
      </w: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тика  в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муниципальном бюджетном общеобразовательном учреждении Ильинской основной  общеобразовательной школе  №21 </w:t>
      </w:r>
      <w:r w:rsidRPr="00D66414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(далее-школа)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ФЗ 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«Об образовании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Российской Федерации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№273-ФЗ от 29.12.2012 г., 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ФЗ № 44 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2) сотрудничество организации с правоохранительными органами;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4) принятие кодекса этики и служебного поведения работников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5) предотвращение и урегулирование конфликта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 Антикоррупционная политика школы напр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авлена на реализацию данных мер.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720"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2.</w:t>
      </w:r>
      <w:r w:rsidRPr="00D66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Используемые в политике понятия и определения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720" w:firstLine="142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Коррупция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</w:t>
      </w: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Противодействие коррупции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в) по минимизации и (или) ликвидации последствий коррупционных правонарушений.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 </w:t>
      </w: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Организация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 </w:t>
      </w: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Контрагент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Взятка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Коммерческий подкуп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Конфликт интересов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(представителем организации) которой он является.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Личная заинтересованность работника (представителя организации)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432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837D68" w:rsidRDefault="00045F56" w:rsidP="00045F56">
      <w:pPr>
        <w:shd w:val="clear" w:color="auto" w:fill="FFFFFF"/>
        <w:spacing w:after="0" w:line="240" w:lineRule="auto"/>
        <w:ind w:left="432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7D6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  <w:lang w:eastAsia="ru-RU"/>
        </w:rPr>
        <w:t>3.Основные принципы антикоррупционной  деятельности организации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     Системы мер противодействия ко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 xml:space="preserve">ррупции в лицее основываться на </w:t>
      </w:r>
      <w:proofErr w:type="spellStart"/>
      <w:r w:rsidRPr="00D66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следующихключевых</w:t>
      </w:r>
      <w:proofErr w:type="spellEnd"/>
      <w:r w:rsidRPr="00D66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 xml:space="preserve"> принципах: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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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личного примера руководства.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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вовлеченности работников.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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соразмерности антикоррупционных процедур риску коррупции.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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эффективности  антикоррупционных процедур.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приносят значимый результат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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ответственности и неотвратимости наказания.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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открытости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</w:t>
      </w:r>
      <w:r w:rsidRPr="00D66414">
        <w:rPr>
          <w:rFonts w:ascii="Symbol" w:eastAsia="Times New Roman" w:hAnsi="Symbol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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Принцип постоянного контроля и регулярного мониторинга.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контроля за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их исполнением.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4. Область применения политики и круг лиц, попадающих под ее действие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 </w:t>
      </w: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нужно включить в текст договоров.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5.  Определение должностных лиц школы, ответственных за реализацию антикоррупционной  политики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Задачи, функции и полномочия   директора в сфере противодействия коррупции определены его Должностной инструкцией.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Эти обязанности  включают в частности: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организация проведения оценки коррупционных рисков;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организация заполнения и рассмотрения </w:t>
      </w: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деклараций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 конфликте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432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837D68" w:rsidRDefault="00045F56" w:rsidP="00045F56">
      <w:pPr>
        <w:shd w:val="clear" w:color="auto" w:fill="FFFFFF"/>
        <w:spacing w:after="0" w:line="240" w:lineRule="auto"/>
        <w:ind w:left="432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7D6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  <w:lang w:eastAsia="ru-RU"/>
        </w:rPr>
        <w:t>7. Установление перечня реализуемых образовательным учреждением  антикоррупционных мероприятий, стандартов и процедур и  порядок их выполнения (применения)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432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tbl>
      <w:tblPr>
        <w:tblW w:w="0" w:type="auto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588"/>
      </w:tblGrid>
      <w:tr w:rsidR="00045F56" w:rsidRPr="00D66414" w:rsidTr="0010591D">
        <w:trPr>
          <w:trHeight w:val="35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7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Мероприятие</w:t>
            </w:r>
          </w:p>
        </w:tc>
      </w:tr>
      <w:tr w:rsidR="00045F56" w:rsidRPr="00D66414" w:rsidTr="0010591D">
        <w:trPr>
          <w:trHeight w:val="350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принятие антико</w:t>
            </w:r>
            <w:bookmarkStart w:id="1" w:name="_ftnref1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ррупционной политики организаци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</w:t>
            </w:r>
          </w:p>
        </w:tc>
      </w:tr>
      <w:tr w:rsidR="00045F56" w:rsidRPr="00D66414" w:rsidTr="0010591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утверждение плана реализации антикоррупционных мероприятий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045F56" w:rsidRPr="00D66414" w:rsidTr="0010591D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антикоррупционных положений в трудовые договоры работников</w:t>
            </w:r>
          </w:p>
        </w:tc>
      </w:tr>
      <w:tr w:rsidR="00045F56" w:rsidRPr="00D66414" w:rsidTr="0010591D">
        <w:trPr>
          <w:trHeight w:val="457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045F56" w:rsidRPr="00D66414" w:rsidTr="0010591D">
        <w:trPr>
          <w:trHeight w:val="457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Обучение и информирование работников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045F56" w:rsidRPr="00D66414" w:rsidTr="0010591D">
        <w:trPr>
          <w:trHeight w:val="457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045F56" w:rsidRPr="00D66414" w:rsidTr="0010591D">
        <w:trPr>
          <w:trHeight w:val="457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Закрепление ответственности за направление сообщения в соответствующие правоохранительные органы о случаях совершения коррупционных </w:t>
            </w: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правонарушений</w:t>
            </w:r>
          </w:p>
        </w:tc>
      </w:tr>
      <w:tr w:rsidR="00045F56" w:rsidRPr="00D66414" w:rsidTr="0010591D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5F56" w:rsidRPr="00D66414" w:rsidRDefault="00045F56" w:rsidP="0010591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56" w:rsidRPr="00D66414" w:rsidRDefault="00045F56" w:rsidP="0010591D">
            <w:pPr>
              <w:spacing w:after="0" w:line="206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качестве   приложения к антикоррупционной политике в школе ежегодно утверждается план реализации антикоррупционных мероприятий.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left="1080"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7.</w:t>
      </w:r>
      <w:r w:rsidRPr="00D66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</w:t>
      </w: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Оценка коррупционных рисков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1080" w:firstLine="142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правонарушений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как в целях получения личной выгоды, так и в целях получения выгоды организацией.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 Порядок проведения оценки коррупционных рисков: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представить деятельность </w:t>
      </w:r>
      <w:r w:rsidRPr="00D66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организации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в виде отдельных  процессов, в каждом из которых выделить составные элементы (</w:t>
      </w:r>
      <w:proofErr w:type="spell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подпроцессы</w:t>
      </w:r>
      <w:proofErr w:type="spell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выделить «критические точки» - для каждого  процесса и определить те элементы (</w:t>
      </w:r>
      <w:proofErr w:type="spell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подпроцессы</w:t>
      </w:r>
      <w:proofErr w:type="spell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Для каждого </w:t>
      </w:r>
      <w:proofErr w:type="spell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подпроцесса</w:t>
      </w:r>
      <w:proofErr w:type="spell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вероятные формы осуществления коррупционных платежей.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Разработать комплекс мер по устранению или минимизации коррупционных рисков.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8. Ответственность  сотрудников за несоблюдение требований антикоррупционной политики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этом следует учитывать, что конфликт интересов может принимать множество различных форм.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 целью регулирования и предотвращения конфликта интересов в деятельности своих работников в школе следует  принять Положение о конфликте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цели и задачи положения о конфликте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используемые в положении понятия и определения;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круг лиц, попадающих под действие положения;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основные принципы управления конфликтом интересов в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обязанности работников в связи с раскрытием и урегулированием конфликта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ответственность работников за несоблюдение положения о конфликте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индивидуальное рассмотрение и оценка </w:t>
      </w:r>
      <w:proofErr w:type="spell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репутационных</w:t>
      </w:r>
      <w:proofErr w:type="spell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Обязанности работников в связи с раскрытием и урегулированием конфликта интересов: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раскрывать возникший (реальный) или потенциальный конфликт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содействовать урегулированию возникшего конфликта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В организации возможно установление различных видов раскрытия конфликта интересов, в том числе: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раскрытие сведений о конфликте интересов при приеме на работу;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раскрытие сведений о конфликте интересов при назначении на новую должность;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разовое раскрытие сведений по мере возникновения ситуаций конфликта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оге этой работы школа может прий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ия. Организация также может прий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 к выводу, что конфликт интересов имеет место, и использовать различные способы его разрешения, в том числе: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бровольный отказ работника школы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пересмотр и изменение функциональных обязанностей работника;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увольнение работника из организации по инициативе работника;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Ответственными за прием сведений о возникающих (имеющихся) конфликтах интересов  являют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ся  непосредственно 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директор. Рассмотрение полученной информации целесообразно проводить коллегиально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 В школе должно проводиться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работников по вопросам</w:t>
      </w:r>
      <w:proofErr w:type="gramEnd"/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коррупция в государственном и частном секторах экономики (теоретическая);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юридическая ответственность за совершение коррупционных правонарушений;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прикладная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прикладная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прикладная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Возможны следующие виды обучения: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обучение по вопросам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045F56" w:rsidRPr="00D66414" w:rsidRDefault="00045F56" w:rsidP="00045F56">
      <w:pPr>
        <w:shd w:val="clear" w:color="auto" w:fill="FFFFFF"/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 Федеральным законом от 6 декабря 2011 г. № 402-ФЗ «О бухгалтерском учете» установлена обязанность для всех организаций </w:t>
      </w:r>
      <w:proofErr w:type="gramStart"/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осуществлять</w:t>
      </w:r>
      <w:proofErr w:type="gramEnd"/>
      <w:r w:rsidRPr="00D6641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контроль документирования операций хозяйственной деятельности организации;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Контроль документирования операций хозяйственной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деятельности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9.Порядок пересмотра и внесения изменений в антикоррупционную политику организации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left="1080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45F56" w:rsidRPr="00D66414" w:rsidRDefault="00045F56" w:rsidP="00045F56">
      <w:pPr>
        <w:shd w:val="clear" w:color="auto" w:fill="FFFFFF"/>
        <w:spacing w:after="0" w:line="206" w:lineRule="atLeast"/>
        <w:ind w:firstLine="142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483F63" w:rsidRDefault="00483F63"/>
    <w:sectPr w:rsidR="004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2E"/>
    <w:rsid w:val="00045F56"/>
    <w:rsid w:val="00483F63"/>
    <w:rsid w:val="00964E55"/>
    <w:rsid w:val="00E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45F5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45F5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4435</Words>
  <Characters>25281</Characters>
  <Application>Microsoft Office Word</Application>
  <DocSecurity>0</DocSecurity>
  <Lines>210</Lines>
  <Paragraphs>59</Paragraphs>
  <ScaleCrop>false</ScaleCrop>
  <Company/>
  <LinksUpToDate>false</LinksUpToDate>
  <CharactersWithSpaces>29657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2022-04-05T10:35:00Z</dcterms:created>
  <dcterms:modified xsi:type="dcterms:W3CDTF">2022-04-06T05:57:00Z</dcterms:modified>
</cp:coreProperties>
</file>